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EC" w:rsidRDefault="001B62EC" w:rsidP="001B62EC">
      <w:pPr>
        <w:pStyle w:val="1"/>
        <w:keepNext w:val="0"/>
        <w:keepLines w:val="0"/>
        <w:tabs>
          <w:tab w:val="left" w:pos="709"/>
        </w:tabs>
        <w:spacing w:before="89"/>
        <w:ind w:left="567" w:right="95"/>
        <w:jc w:val="center"/>
      </w:pPr>
      <w:bookmarkStart w:id="0" w:name="_GoBack"/>
      <w:r>
        <w:t>На 2023 год продлено действие особого порядка расчета пени за</w:t>
      </w:r>
      <w:r>
        <w:rPr>
          <w:spacing w:val="1"/>
        </w:rPr>
        <w:t xml:space="preserve"> </w:t>
      </w:r>
      <w:r>
        <w:t>задолженность</w:t>
      </w:r>
      <w:r>
        <w:rPr>
          <w:spacing w:val="-2"/>
        </w:rPr>
        <w:t xml:space="preserve"> </w:t>
      </w:r>
      <w:r>
        <w:t>по оплате</w:t>
      </w:r>
      <w:r>
        <w:rPr>
          <w:spacing w:val="-1"/>
        </w:rPr>
        <w:t xml:space="preserve"> </w:t>
      </w:r>
      <w:r>
        <w:t>жилищно-коммунальных услуг.</w:t>
      </w:r>
    </w:p>
    <w:bookmarkEnd w:id="0"/>
    <w:p w:rsidR="001B62EC" w:rsidRDefault="001B62EC" w:rsidP="001B62EC">
      <w:pPr>
        <w:pStyle w:val="a6"/>
        <w:tabs>
          <w:tab w:val="left" w:pos="709"/>
        </w:tabs>
        <w:ind w:left="567" w:right="95"/>
        <w:jc w:val="both"/>
      </w:pPr>
      <w:proofErr w:type="gramStart"/>
      <w:r>
        <w:t>Постановлением Правительства Российской Федерации от 28.12.2022 №</w:t>
      </w:r>
      <w:r>
        <w:rPr>
          <w:spacing w:val="1"/>
        </w:rPr>
        <w:t xml:space="preserve"> </w:t>
      </w:r>
      <w:r>
        <w:t>2479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474»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продлено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постановления Правительства Российской Федерации от 26.03.2022 № 474 «О</w:t>
      </w:r>
      <w:r>
        <w:rPr>
          <w:spacing w:val="1"/>
        </w:rPr>
        <w:t xml:space="preserve"> </w:t>
      </w:r>
      <w:r>
        <w:t>некоторых особенностях регулирования жилищных отношений в 2022 и 2023</w:t>
      </w:r>
      <w:r>
        <w:rPr>
          <w:spacing w:val="1"/>
        </w:rPr>
        <w:t xml:space="preserve"> </w:t>
      </w:r>
      <w:r>
        <w:t>годах», в соответствии с которым начисление и уплата пени в случае неполного</w:t>
      </w:r>
      <w:r>
        <w:rPr>
          <w:spacing w:val="-6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(или)</w:t>
      </w:r>
      <w:r>
        <w:rPr>
          <w:spacing w:val="-8"/>
        </w:rPr>
        <w:t xml:space="preserve"> </w:t>
      </w:r>
      <w:r>
        <w:t>несвоевременного</w:t>
      </w:r>
      <w:r>
        <w:rPr>
          <w:spacing w:val="-7"/>
        </w:rPr>
        <w:t xml:space="preserve"> </w:t>
      </w:r>
      <w:r>
        <w:t>внесения</w:t>
      </w:r>
      <w:proofErr w:type="gramEnd"/>
      <w:r>
        <w:rPr>
          <w:spacing w:val="-7"/>
        </w:rPr>
        <w:t xml:space="preserve"> </w:t>
      </w:r>
      <w:proofErr w:type="gramStart"/>
      <w:r>
        <w:t>платы</w:t>
      </w:r>
      <w:r>
        <w:rPr>
          <w:spacing w:val="-7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жилое</w:t>
      </w:r>
      <w:r>
        <w:rPr>
          <w:spacing w:val="-7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коммунальные</w:t>
      </w:r>
      <w:r>
        <w:rPr>
          <w:spacing w:val="-67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взносов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капитальный</w:t>
      </w:r>
      <w:r>
        <w:rPr>
          <w:spacing w:val="1"/>
        </w:rPr>
        <w:t xml:space="preserve"> </w:t>
      </w:r>
      <w:r>
        <w:t>ремонт,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жилищным</w:t>
      </w:r>
      <w:r>
        <w:rPr>
          <w:spacing w:val="1"/>
        </w:rPr>
        <w:t xml:space="preserve"> </w:t>
      </w:r>
      <w:r>
        <w:t>законодательством Российской Федерации, а также начисление и взыскание</w:t>
      </w:r>
      <w:r>
        <w:rPr>
          <w:spacing w:val="1"/>
        </w:rPr>
        <w:t xml:space="preserve"> </w:t>
      </w:r>
      <w:r>
        <w:rPr>
          <w:spacing w:val="-1"/>
        </w:rPr>
        <w:t>неустойки</w:t>
      </w:r>
      <w:r>
        <w:rPr>
          <w:spacing w:val="-17"/>
        </w:rPr>
        <w:t xml:space="preserve"> </w:t>
      </w:r>
      <w:r>
        <w:rPr>
          <w:spacing w:val="-1"/>
        </w:rPr>
        <w:t>(штрафа,</w:t>
      </w:r>
      <w:r>
        <w:rPr>
          <w:spacing w:val="-17"/>
        </w:rPr>
        <w:t xml:space="preserve"> </w:t>
      </w:r>
      <w:r>
        <w:rPr>
          <w:spacing w:val="-1"/>
        </w:rPr>
        <w:t>пени)</w:t>
      </w:r>
      <w:r>
        <w:rPr>
          <w:spacing w:val="-17"/>
        </w:rPr>
        <w:t xml:space="preserve"> </w:t>
      </w:r>
      <w:r>
        <w:rPr>
          <w:spacing w:val="-1"/>
        </w:rPr>
        <w:t>за</w:t>
      </w:r>
      <w:r>
        <w:rPr>
          <w:spacing w:val="-17"/>
        </w:rPr>
        <w:t xml:space="preserve"> </w:t>
      </w:r>
      <w:r>
        <w:rPr>
          <w:spacing w:val="-1"/>
        </w:rPr>
        <w:t>несвоевременное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(или)</w:t>
      </w:r>
      <w:r>
        <w:rPr>
          <w:spacing w:val="-17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полностью</w:t>
      </w:r>
      <w:r>
        <w:rPr>
          <w:spacing w:val="-17"/>
        </w:rPr>
        <w:t xml:space="preserve"> </w:t>
      </w:r>
      <w:r>
        <w:t>исполненное</w:t>
      </w:r>
      <w:r>
        <w:rPr>
          <w:spacing w:val="-67"/>
        </w:rPr>
        <w:t xml:space="preserve"> </w:t>
      </w:r>
      <w:r>
        <w:t>юридическими лицами и индивидуальными предпринимателями обязательство</w:t>
      </w:r>
      <w:r>
        <w:rPr>
          <w:spacing w:val="1"/>
        </w:rPr>
        <w:t xml:space="preserve"> </w:t>
      </w:r>
      <w:r>
        <w:t>по оплате услуг, предоставляемых на основании договоров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газоснабжении,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электроэнергетике, о теплоснабжении, о водоснабжении и водоотведении</w:t>
      </w:r>
      <w:proofErr w:type="gramEnd"/>
      <w:r>
        <w:t xml:space="preserve">, </w:t>
      </w:r>
      <w:proofErr w:type="gramStart"/>
      <w:r>
        <w:t>об</w:t>
      </w:r>
      <w:r>
        <w:rPr>
          <w:spacing w:val="1"/>
        </w:rPr>
        <w:t xml:space="preserve"> </w:t>
      </w:r>
      <w:r>
        <w:t>обращении с твердыми коммунальными отходами, осуществляются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16"/>
        </w:rPr>
        <w:t xml:space="preserve"> </w:t>
      </w:r>
      <w:r>
        <w:t>указанным</w:t>
      </w:r>
      <w:r>
        <w:rPr>
          <w:spacing w:val="-16"/>
        </w:rPr>
        <w:t xml:space="preserve"> </w:t>
      </w:r>
      <w:r>
        <w:t>законодательством</w:t>
      </w:r>
      <w:r>
        <w:rPr>
          <w:spacing w:val="-15"/>
        </w:rPr>
        <w:t xml:space="preserve"> </w:t>
      </w:r>
      <w:r>
        <w:t>Российской</w:t>
      </w:r>
      <w:r>
        <w:rPr>
          <w:spacing w:val="-15"/>
        </w:rPr>
        <w:t xml:space="preserve"> </w:t>
      </w:r>
      <w:r>
        <w:t>Федерации,</w:t>
      </w:r>
      <w:r>
        <w:rPr>
          <w:spacing w:val="-16"/>
        </w:rPr>
        <w:t xml:space="preserve"> </w:t>
      </w:r>
      <w:r>
        <w:t>исходя</w:t>
      </w:r>
      <w:r>
        <w:rPr>
          <w:spacing w:val="-67"/>
        </w:rPr>
        <w:t xml:space="preserve"> </w:t>
      </w:r>
      <w:r>
        <w:t>из минимального значения ключевой ставки Центрального банка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значений: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 Федерации, действующая по состоянию на 27 февраля 2022 г., и</w:t>
      </w:r>
      <w:r>
        <w:rPr>
          <w:spacing w:val="1"/>
        </w:rPr>
        <w:t xml:space="preserve"> </w:t>
      </w:r>
      <w:r>
        <w:t>ключевая ставка Центрального банка Российской Федерации, действующая на</w:t>
      </w:r>
      <w:r>
        <w:rPr>
          <w:spacing w:val="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фактической оплаты.</w:t>
      </w:r>
      <w:proofErr w:type="gramEnd"/>
    </w:p>
    <w:p w:rsidR="001B62EC" w:rsidRDefault="001B62EC" w:rsidP="001B62EC">
      <w:pPr>
        <w:pStyle w:val="a6"/>
        <w:tabs>
          <w:tab w:val="left" w:pos="709"/>
        </w:tabs>
        <w:ind w:left="567" w:right="95"/>
        <w:jc w:val="both"/>
      </w:pPr>
      <w:proofErr w:type="gramStart"/>
      <w:r>
        <w:t>Начисление и уплата пени в случае просрочки исполнения обязательства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установке,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договорам,</w:t>
      </w:r>
      <w:r>
        <w:rPr>
          <w:spacing w:val="1"/>
        </w:rPr>
        <w:t xml:space="preserve"> </w:t>
      </w:r>
      <w:r>
        <w:t>заключаемым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энергосбережении,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r>
        <w:t>ставки</w:t>
      </w:r>
      <w:r>
        <w:rPr>
          <w:spacing w:val="-67"/>
        </w:rPr>
        <w:t xml:space="preserve"> </w:t>
      </w:r>
      <w:r>
        <w:t>Центрального банка Российской Федерации из следующих значений: ключевая</w:t>
      </w:r>
      <w:r>
        <w:rPr>
          <w:spacing w:val="1"/>
        </w:rPr>
        <w:t xml:space="preserve"> </w:t>
      </w:r>
      <w:r>
        <w:t>ставка Центрального банка Российской Федерации, действующая по</w:t>
      </w:r>
      <w:proofErr w:type="gramEnd"/>
      <w:r>
        <w:t xml:space="preserve"> состоянию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действующая</w:t>
      </w:r>
      <w:r>
        <w:rPr>
          <w:spacing w:val="-2"/>
        </w:rPr>
        <w:t xml:space="preserve"> </w:t>
      </w:r>
      <w:r>
        <w:t>на день</w:t>
      </w:r>
      <w:r>
        <w:rPr>
          <w:spacing w:val="-2"/>
        </w:rPr>
        <w:t xml:space="preserve"> </w:t>
      </w:r>
      <w:r>
        <w:t>исполнения обязательства.</w:t>
      </w:r>
    </w:p>
    <w:p w:rsidR="001B62EC" w:rsidRDefault="001B62EC" w:rsidP="001B62EC">
      <w:pPr>
        <w:pStyle w:val="a6"/>
        <w:tabs>
          <w:tab w:val="left" w:pos="709"/>
        </w:tabs>
        <w:ind w:left="567" w:right="95"/>
        <w:jc w:val="both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рассрочке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договор</w:t>
      </w:r>
      <w:proofErr w:type="gramEnd"/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установке</w:t>
      </w:r>
      <w:r>
        <w:rPr>
          <w:spacing w:val="-67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квартиры)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(общедомового)</w:t>
      </w:r>
      <w:r>
        <w:rPr>
          <w:spacing w:val="1"/>
        </w:rPr>
        <w:t xml:space="preserve"> </w:t>
      </w:r>
      <w:r>
        <w:t>прибора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ресурса,</w:t>
      </w:r>
      <w:r>
        <w:rPr>
          <w:spacing w:val="1"/>
        </w:rPr>
        <w:t xml:space="preserve"> </w:t>
      </w:r>
      <w:r>
        <w:t>заключаемый в соответствии с законодательством Российской Федерации об</w:t>
      </w:r>
      <w:r>
        <w:rPr>
          <w:spacing w:val="1"/>
        </w:rPr>
        <w:t xml:space="preserve"> </w:t>
      </w:r>
      <w:r>
        <w:t>энергосбережении с гражданином - собственником жилого дома, садового дома</w:t>
      </w:r>
      <w:r>
        <w:rPr>
          <w:spacing w:val="-67"/>
        </w:rPr>
        <w:t xml:space="preserve"> </w:t>
      </w:r>
      <w:r>
        <w:t>либо уполномоченным им лицом, с гражданином - собственником помещения в</w:t>
      </w:r>
      <w:r>
        <w:rPr>
          <w:spacing w:val="-67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многоквартирного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цену,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proofErr w:type="gramStart"/>
      <w:r>
        <w:t>договором,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включению сумма процентов, начисляемых в связи с предоставлением такой</w:t>
      </w:r>
      <w:r>
        <w:rPr>
          <w:spacing w:val="1"/>
        </w:rPr>
        <w:t xml:space="preserve"> </w:t>
      </w:r>
      <w:r>
        <w:t>рассрочки, рассчитываемая исходя из минимального значения ключевой ставки</w:t>
      </w:r>
      <w:r>
        <w:rPr>
          <w:spacing w:val="1"/>
        </w:rPr>
        <w:t xml:space="preserve"> </w:t>
      </w:r>
      <w:r>
        <w:t>Центрального</w:t>
      </w:r>
      <w:r>
        <w:rPr>
          <w:spacing w:val="13"/>
        </w:rPr>
        <w:t xml:space="preserve"> </w:t>
      </w:r>
      <w:r>
        <w:t>банка</w:t>
      </w:r>
      <w:r>
        <w:rPr>
          <w:spacing w:val="12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следующих</w:t>
      </w:r>
      <w:r>
        <w:rPr>
          <w:spacing w:val="12"/>
        </w:rPr>
        <w:t xml:space="preserve"> </w:t>
      </w:r>
      <w:r>
        <w:t>значений:</w:t>
      </w:r>
      <w:r>
        <w:rPr>
          <w:spacing w:val="12"/>
        </w:rPr>
        <w:t xml:space="preserve"> </w:t>
      </w:r>
      <w:r>
        <w:t>ключевая</w:t>
      </w:r>
      <w:r>
        <w:t xml:space="preserve"> </w:t>
      </w:r>
      <w:r>
        <w:t>ставка Центрального банка Российской Федерации, действующая по состоянию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ключевая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действующая</w:t>
      </w:r>
      <w:r>
        <w:rPr>
          <w:spacing w:val="-2"/>
        </w:rPr>
        <w:t xml:space="preserve"> </w:t>
      </w:r>
      <w:r>
        <w:t>на день</w:t>
      </w:r>
      <w:r>
        <w:rPr>
          <w:spacing w:val="-2"/>
        </w:rPr>
        <w:t xml:space="preserve"> </w:t>
      </w:r>
      <w:r>
        <w:t>начисления</w:t>
      </w:r>
      <w:r>
        <w:rPr>
          <w:spacing w:val="-1"/>
        </w:rPr>
        <w:t xml:space="preserve"> </w:t>
      </w:r>
      <w:r>
        <w:t>процентов.</w:t>
      </w:r>
      <w:proofErr w:type="gramEnd"/>
    </w:p>
    <w:p w:rsidR="001B62EC" w:rsidRDefault="001B62EC" w:rsidP="001B62EC"/>
    <w:p w:rsidR="001B62EC" w:rsidRDefault="001B62EC" w:rsidP="001B62EC">
      <w:pPr>
        <w:jc w:val="both"/>
        <w:sectPr w:rsidR="001B62EC" w:rsidSect="001B62EC">
          <w:headerReference w:type="even" r:id="rId6"/>
          <w:headerReference w:type="default" r:id="rId7"/>
          <w:pgSz w:w="11910" w:h="16840"/>
          <w:pgMar w:top="1020" w:right="440" w:bottom="709" w:left="460" w:header="721" w:footer="0" w:gutter="0"/>
          <w:pgNumType w:start="2"/>
          <w:cols w:space="720"/>
        </w:sectPr>
      </w:pPr>
    </w:p>
    <w:p w:rsidR="001B62EC" w:rsidRDefault="001B62EC" w:rsidP="001B62EC">
      <w:pPr>
        <w:pStyle w:val="a6"/>
        <w:spacing w:before="3"/>
        <w:rPr>
          <w:sz w:val="20"/>
        </w:rPr>
      </w:pPr>
    </w:p>
    <w:sectPr w:rsidR="001B62EC" w:rsidSect="001B62E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76" w:rsidRDefault="001B62EC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7414CC" wp14:editId="734E8DA1">
              <wp:simplePos x="0" y="0"/>
              <wp:positionH relativeFrom="page">
                <wp:posOffset>3337560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376" w:rsidRDefault="001B62EC">
                          <w:pPr>
                            <w:pStyle w:val="a6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62.8pt;margin-top:35.05pt;width:13pt;height:1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" filled="f" stroked="f">
              <v:textbox inset="0,0,0,0">
                <w:txbxContent>
                  <w:p w:rsidR="005D1376" w:rsidRDefault="001B62EC">
                    <w:pPr>
                      <w:pStyle w:val="a6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376" w:rsidRDefault="001B62EC">
    <w:pPr>
      <w:pStyle w:val="a6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79C4A2F" wp14:editId="31D6A7BF">
              <wp:simplePos x="0" y="0"/>
              <wp:positionH relativeFrom="page">
                <wp:posOffset>4057650</wp:posOffset>
              </wp:positionH>
              <wp:positionV relativeFrom="page">
                <wp:posOffset>445135</wp:posOffset>
              </wp:positionV>
              <wp:extent cx="165100" cy="2228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1376" w:rsidRDefault="001B62EC">
                          <w:pPr>
                            <w:pStyle w:val="a6"/>
                            <w:spacing w:before="8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9.5pt;margin-top:35.05pt;width:13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" filled="f" stroked="f">
              <v:textbox inset="0,0,0,0">
                <w:txbxContent>
                  <w:p w:rsidR="005D1376" w:rsidRDefault="001B62EC">
                    <w:pPr>
                      <w:pStyle w:val="a6"/>
                      <w:spacing w:before="8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61B31"/>
    <w:multiLevelType w:val="hybridMultilevel"/>
    <w:tmpl w:val="D5EC650A"/>
    <w:lvl w:ilvl="0" w:tplc="9D821B1A">
      <w:start w:val="1"/>
      <w:numFmt w:val="decimal"/>
      <w:lvlText w:val="%1."/>
      <w:lvlJc w:val="left"/>
      <w:pPr>
        <w:ind w:left="107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5EE78DE">
      <w:numFmt w:val="bullet"/>
      <w:lvlText w:val="•"/>
      <w:lvlJc w:val="left"/>
      <w:pPr>
        <w:ind w:left="1190" w:hanging="280"/>
      </w:pPr>
      <w:rPr>
        <w:rFonts w:hint="default"/>
        <w:lang w:val="ru-RU" w:eastAsia="en-US" w:bidi="ar-SA"/>
      </w:rPr>
    </w:lvl>
    <w:lvl w:ilvl="2" w:tplc="4DD2007C">
      <w:numFmt w:val="bullet"/>
      <w:lvlText w:val="•"/>
      <w:lvlJc w:val="left"/>
      <w:pPr>
        <w:ind w:left="2281" w:hanging="280"/>
      </w:pPr>
      <w:rPr>
        <w:rFonts w:hint="default"/>
        <w:lang w:val="ru-RU" w:eastAsia="en-US" w:bidi="ar-SA"/>
      </w:rPr>
    </w:lvl>
    <w:lvl w:ilvl="3" w:tplc="E69C8DD4">
      <w:numFmt w:val="bullet"/>
      <w:lvlText w:val="•"/>
      <w:lvlJc w:val="left"/>
      <w:pPr>
        <w:ind w:left="3371" w:hanging="280"/>
      </w:pPr>
      <w:rPr>
        <w:rFonts w:hint="default"/>
        <w:lang w:val="ru-RU" w:eastAsia="en-US" w:bidi="ar-SA"/>
      </w:rPr>
    </w:lvl>
    <w:lvl w:ilvl="4" w:tplc="8A80B7D4">
      <w:numFmt w:val="bullet"/>
      <w:lvlText w:val="•"/>
      <w:lvlJc w:val="left"/>
      <w:pPr>
        <w:ind w:left="4462" w:hanging="280"/>
      </w:pPr>
      <w:rPr>
        <w:rFonts w:hint="default"/>
        <w:lang w:val="ru-RU" w:eastAsia="en-US" w:bidi="ar-SA"/>
      </w:rPr>
    </w:lvl>
    <w:lvl w:ilvl="5" w:tplc="F6A0F5D2">
      <w:numFmt w:val="bullet"/>
      <w:lvlText w:val="•"/>
      <w:lvlJc w:val="left"/>
      <w:pPr>
        <w:ind w:left="5553" w:hanging="280"/>
      </w:pPr>
      <w:rPr>
        <w:rFonts w:hint="default"/>
        <w:lang w:val="ru-RU" w:eastAsia="en-US" w:bidi="ar-SA"/>
      </w:rPr>
    </w:lvl>
    <w:lvl w:ilvl="6" w:tplc="2CDA2788">
      <w:numFmt w:val="bullet"/>
      <w:lvlText w:val="•"/>
      <w:lvlJc w:val="left"/>
      <w:pPr>
        <w:ind w:left="6643" w:hanging="280"/>
      </w:pPr>
      <w:rPr>
        <w:rFonts w:hint="default"/>
        <w:lang w:val="ru-RU" w:eastAsia="en-US" w:bidi="ar-SA"/>
      </w:rPr>
    </w:lvl>
    <w:lvl w:ilvl="7" w:tplc="D0A610D4">
      <w:numFmt w:val="bullet"/>
      <w:lvlText w:val="•"/>
      <w:lvlJc w:val="left"/>
      <w:pPr>
        <w:ind w:left="7734" w:hanging="280"/>
      </w:pPr>
      <w:rPr>
        <w:rFonts w:hint="default"/>
        <w:lang w:val="ru-RU" w:eastAsia="en-US" w:bidi="ar-SA"/>
      </w:rPr>
    </w:lvl>
    <w:lvl w:ilvl="8" w:tplc="E188E274">
      <w:numFmt w:val="bullet"/>
      <w:lvlText w:val="•"/>
      <w:lvlJc w:val="left"/>
      <w:pPr>
        <w:ind w:left="8824" w:hanging="2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0A"/>
    <w:rsid w:val="001B62EC"/>
    <w:rsid w:val="0033470A"/>
    <w:rsid w:val="00DA553F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B62EC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B62E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B6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1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1B62EC"/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1B62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2023-04-07T05:43:00Z</dcterms:created>
  <dcterms:modified xsi:type="dcterms:W3CDTF">2023-04-07T05:45:00Z</dcterms:modified>
</cp:coreProperties>
</file>