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2DD" w:rsidRDefault="00B402DD" w:rsidP="00B402DD">
      <w:pPr>
        <w:pStyle w:val="1"/>
        <w:keepNext w:val="0"/>
        <w:keepLines w:val="0"/>
        <w:numPr>
          <w:ilvl w:val="0"/>
          <w:numId w:val="1"/>
        </w:numPr>
        <w:tabs>
          <w:tab w:val="left" w:pos="1096"/>
        </w:tabs>
        <w:ind w:left="1096"/>
        <w:jc w:val="center"/>
      </w:pPr>
      <w:bookmarkStart w:id="0" w:name="_GoBack"/>
      <w:r>
        <w:t>Меры</w:t>
      </w:r>
      <w:r>
        <w:rPr>
          <w:spacing w:val="-8"/>
        </w:rPr>
        <w:t xml:space="preserve"> </w:t>
      </w:r>
      <w:r>
        <w:t>поддержки</w:t>
      </w:r>
      <w:r>
        <w:rPr>
          <w:spacing w:val="-6"/>
        </w:rPr>
        <w:t xml:space="preserve"> </w:t>
      </w:r>
      <w:r>
        <w:t>субъектов</w:t>
      </w:r>
      <w:r>
        <w:rPr>
          <w:spacing w:val="-7"/>
        </w:rPr>
        <w:t xml:space="preserve"> </w:t>
      </w:r>
      <w:r>
        <w:t>предпринимательства</w:t>
      </w:r>
    </w:p>
    <w:bookmarkEnd w:id="0"/>
    <w:p w:rsidR="00B402DD" w:rsidRDefault="00B402DD" w:rsidP="00B402DD">
      <w:pPr>
        <w:pStyle w:val="a6"/>
        <w:tabs>
          <w:tab w:val="left" w:pos="10348"/>
        </w:tabs>
        <w:ind w:left="107" w:right="-13" w:firstLine="709"/>
        <w:jc w:val="both"/>
      </w:pPr>
      <w:r>
        <w:t>Центральным</w:t>
      </w:r>
      <w:r>
        <w:rPr>
          <w:spacing w:val="-10"/>
        </w:rPr>
        <w:t xml:space="preserve"> </w:t>
      </w:r>
      <w:r>
        <w:t>Банком</w:t>
      </w:r>
      <w:r>
        <w:rPr>
          <w:spacing w:val="-9"/>
        </w:rPr>
        <w:t xml:space="preserve"> </w:t>
      </w:r>
      <w:r>
        <w:t>России</w:t>
      </w:r>
      <w:r>
        <w:rPr>
          <w:spacing w:val="-10"/>
        </w:rPr>
        <w:t xml:space="preserve"> </w:t>
      </w:r>
      <w:r>
        <w:t>Федерации</w:t>
      </w:r>
      <w:r>
        <w:rPr>
          <w:spacing w:val="-9"/>
        </w:rPr>
        <w:t xml:space="preserve"> </w:t>
      </w:r>
      <w:r>
        <w:t>письмом</w:t>
      </w:r>
      <w:r>
        <w:rPr>
          <w:spacing w:val="-10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15.02.2023</w:t>
      </w:r>
      <w:r>
        <w:rPr>
          <w:spacing w:val="-11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ИН-03-</w:t>
      </w:r>
      <w:r>
        <w:rPr>
          <w:spacing w:val="-68"/>
        </w:rPr>
        <w:t xml:space="preserve"> </w:t>
      </w:r>
      <w:r>
        <w:t>23/14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резервов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кредитовании</w:t>
      </w:r>
      <w:r>
        <w:rPr>
          <w:spacing w:val="1"/>
        </w:rPr>
        <w:t xml:space="preserve"> </w:t>
      </w:r>
      <w:r>
        <w:t>военнослужащих,</w:t>
      </w:r>
      <w:r>
        <w:rPr>
          <w:spacing w:val="1"/>
        </w:rPr>
        <w:t xml:space="preserve"> </w:t>
      </w:r>
      <w:r>
        <w:t>служащих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семей»</w:t>
      </w:r>
      <w:r>
        <w:rPr>
          <w:spacing w:val="1"/>
        </w:rPr>
        <w:t xml:space="preserve"> </w:t>
      </w:r>
      <w:r>
        <w:t>кредитным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разрешено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ухудшать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кредитов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предпринимательства,</w:t>
      </w:r>
      <w:r>
        <w:rPr>
          <w:spacing w:val="1"/>
        </w:rPr>
        <w:t xml:space="preserve"> </w:t>
      </w:r>
      <w:r>
        <w:t>чей</w:t>
      </w:r>
      <w:r>
        <w:rPr>
          <w:spacing w:val="1"/>
        </w:rPr>
        <w:t xml:space="preserve"> </w:t>
      </w:r>
      <w:r>
        <w:t>единственный</w:t>
      </w:r>
      <w:r>
        <w:rPr>
          <w:spacing w:val="1"/>
        </w:rPr>
        <w:t xml:space="preserve"> </w:t>
      </w:r>
      <w:r>
        <w:t>участник,</w:t>
      </w:r>
      <w:r>
        <w:rPr>
          <w:spacing w:val="1"/>
        </w:rPr>
        <w:t xml:space="preserve"> </w:t>
      </w:r>
      <w:r>
        <w:t>выполняющий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единоличного</w:t>
      </w:r>
      <w:r>
        <w:rPr>
          <w:spacing w:val="-14"/>
        </w:rPr>
        <w:t xml:space="preserve"> </w:t>
      </w:r>
      <w:r>
        <w:t>исполнительного</w:t>
      </w:r>
      <w:r>
        <w:rPr>
          <w:spacing w:val="-13"/>
        </w:rPr>
        <w:t xml:space="preserve"> </w:t>
      </w:r>
      <w:r>
        <w:t>органа,</w:t>
      </w:r>
      <w:r>
        <w:rPr>
          <w:spacing w:val="-12"/>
        </w:rPr>
        <w:t xml:space="preserve"> </w:t>
      </w:r>
      <w:r>
        <w:t>был</w:t>
      </w:r>
      <w:r>
        <w:rPr>
          <w:spacing w:val="-13"/>
        </w:rPr>
        <w:t xml:space="preserve"> </w:t>
      </w:r>
      <w:proofErr w:type="spellStart"/>
      <w:r>
        <w:t>мобилизован</w:t>
      </w:r>
      <w:proofErr w:type="gramStart"/>
      <w:r>
        <w:t>.Р</w:t>
      </w:r>
      <w:proofErr w:type="gramEnd"/>
      <w:r>
        <w:t>ечь</w:t>
      </w:r>
      <w:proofErr w:type="spellEnd"/>
      <w:r>
        <w:rPr>
          <w:spacing w:val="-14"/>
        </w:rPr>
        <w:t xml:space="preserve"> </w:t>
      </w:r>
      <w:r>
        <w:t>идет</w:t>
      </w:r>
      <w:r>
        <w:rPr>
          <w:spacing w:val="-12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кредитных</w:t>
      </w:r>
      <w:r>
        <w:rPr>
          <w:spacing w:val="-67"/>
        </w:rPr>
        <w:t xml:space="preserve"> </w:t>
      </w:r>
      <w:r>
        <w:t>договорах, заключенных до дня призыва на военную службу по мобилизации в</w:t>
      </w:r>
      <w:r>
        <w:rPr>
          <w:spacing w:val="1"/>
        </w:rPr>
        <w:t xml:space="preserve"> </w:t>
      </w:r>
      <w:r>
        <w:t>Вооруженные Силы РФ единственного участника субъекта малого и среднего</w:t>
      </w:r>
      <w:r>
        <w:rPr>
          <w:spacing w:val="1"/>
        </w:rPr>
        <w:t xml:space="preserve"> </w:t>
      </w:r>
      <w:r>
        <w:t>предпринимательства</w:t>
      </w:r>
      <w:r>
        <w:rPr>
          <w:spacing w:val="-1"/>
        </w:rPr>
        <w:t xml:space="preserve"> </w:t>
      </w:r>
      <w:r>
        <w:t>и по</w:t>
      </w:r>
      <w:r>
        <w:rPr>
          <w:spacing w:val="-1"/>
        </w:rPr>
        <w:t xml:space="preserve"> </w:t>
      </w:r>
      <w:r>
        <w:t>31 декабря</w:t>
      </w:r>
      <w:r>
        <w:rPr>
          <w:spacing w:val="-2"/>
        </w:rPr>
        <w:t xml:space="preserve"> </w:t>
      </w:r>
      <w:r>
        <w:t>2023 года.</w:t>
      </w:r>
    </w:p>
    <w:p w:rsidR="00B402DD" w:rsidRDefault="00B402DD" w:rsidP="00B402DD">
      <w:pPr>
        <w:pStyle w:val="a6"/>
        <w:tabs>
          <w:tab w:val="left" w:pos="10348"/>
        </w:tabs>
        <w:ind w:left="107" w:right="-13" w:firstLine="709"/>
        <w:jc w:val="both"/>
      </w:pPr>
      <w:r>
        <w:t>Решение</w:t>
      </w:r>
      <w:r>
        <w:rPr>
          <w:spacing w:val="-11"/>
        </w:rPr>
        <w:t xml:space="preserve"> </w:t>
      </w:r>
      <w:r>
        <w:t>о</w:t>
      </w:r>
      <w:r>
        <w:rPr>
          <w:spacing w:val="-12"/>
        </w:rPr>
        <w:t xml:space="preserve"> </w:t>
      </w:r>
      <w:proofErr w:type="spellStart"/>
      <w:r>
        <w:t>неухудшении</w:t>
      </w:r>
      <w:proofErr w:type="spellEnd"/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течение</w:t>
      </w:r>
      <w:r>
        <w:rPr>
          <w:spacing w:val="-11"/>
        </w:rPr>
        <w:t xml:space="preserve"> </w:t>
      </w:r>
      <w:r>
        <w:t>льготного</w:t>
      </w:r>
      <w:r>
        <w:rPr>
          <w:spacing w:val="-12"/>
        </w:rPr>
        <w:t xml:space="preserve"> </w:t>
      </w:r>
      <w:r>
        <w:t>периода</w:t>
      </w:r>
      <w:r>
        <w:rPr>
          <w:spacing w:val="-11"/>
        </w:rPr>
        <w:t xml:space="preserve"> </w:t>
      </w:r>
      <w:r>
        <w:t>оценки</w:t>
      </w:r>
      <w:r>
        <w:rPr>
          <w:spacing w:val="-11"/>
        </w:rPr>
        <w:t xml:space="preserve"> </w:t>
      </w:r>
      <w:r>
        <w:t>финансового</w:t>
      </w:r>
      <w:r>
        <w:rPr>
          <w:spacing w:val="-68"/>
        </w:rPr>
        <w:t xml:space="preserve"> </w:t>
      </w:r>
      <w:r>
        <w:t>положения таких заемщиков, качества обслуживания долга, категории качества</w:t>
      </w:r>
      <w:r>
        <w:rPr>
          <w:spacing w:val="1"/>
        </w:rPr>
        <w:t xml:space="preserve"> </w:t>
      </w:r>
      <w:r>
        <w:t>обеспечения, категории качества ссуд, прочих активов и условных обязатель</w:t>
      </w:r>
      <w:proofErr w:type="gramStart"/>
      <w:r>
        <w:t>ств</w:t>
      </w:r>
      <w:r>
        <w:rPr>
          <w:spacing w:val="-67"/>
        </w:rPr>
        <w:t xml:space="preserve"> </w:t>
      </w:r>
      <w:r>
        <w:t>кр</w:t>
      </w:r>
      <w:proofErr w:type="gramEnd"/>
      <w:r>
        <w:t>едитного</w:t>
      </w:r>
      <w:r>
        <w:rPr>
          <w:spacing w:val="-2"/>
        </w:rPr>
        <w:t xml:space="preserve"> </w:t>
      </w:r>
      <w:r>
        <w:t>характера может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принято</w:t>
      </w:r>
      <w:r>
        <w:rPr>
          <w:spacing w:val="-1"/>
        </w:rPr>
        <w:t xml:space="preserve"> </w:t>
      </w:r>
      <w:r>
        <w:t>по 31 января</w:t>
      </w:r>
      <w:r>
        <w:rPr>
          <w:spacing w:val="-2"/>
        </w:rPr>
        <w:t xml:space="preserve"> </w:t>
      </w:r>
      <w:r>
        <w:t>2024 года.</w:t>
      </w:r>
    </w:p>
    <w:p w:rsidR="00B402DD" w:rsidRDefault="00B402DD" w:rsidP="00B402DD">
      <w:pPr>
        <w:pStyle w:val="a6"/>
        <w:tabs>
          <w:tab w:val="left" w:pos="10206"/>
          <w:tab w:val="left" w:pos="10348"/>
        </w:tabs>
        <w:ind w:left="107" w:right="-13" w:firstLine="709"/>
        <w:jc w:val="both"/>
      </w:pPr>
      <w:r>
        <w:t>Аналогичное решение может быть принято банком при классификации</w:t>
      </w:r>
      <w:r>
        <w:rPr>
          <w:spacing w:val="1"/>
        </w:rPr>
        <w:t xml:space="preserve"> </w:t>
      </w:r>
      <w:r>
        <w:t>ссуд,</w:t>
      </w:r>
      <w:r>
        <w:rPr>
          <w:spacing w:val="1"/>
        </w:rPr>
        <w:t xml:space="preserve"> </w:t>
      </w:r>
      <w:r>
        <w:t>реструктурированных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банковской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Постановлением Правительства Российской Федерации от 10.02.2023 № 191</w:t>
      </w:r>
      <w:r>
        <w:rPr>
          <w:spacing w:val="1"/>
        </w:rPr>
        <w:t xml:space="preserve"> </w:t>
      </w:r>
      <w:r>
        <w:t>изменены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арендной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порядка,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арендной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находящиеся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(далее</w:t>
      </w:r>
      <w:r>
        <w:rPr>
          <w:spacing w:val="-1"/>
        </w:rPr>
        <w:t xml:space="preserve"> </w:t>
      </w:r>
      <w:r>
        <w:t>– Правила).</w:t>
      </w:r>
    </w:p>
    <w:p w:rsidR="00B402DD" w:rsidRDefault="00B402DD" w:rsidP="00B402DD">
      <w:pPr>
        <w:pStyle w:val="a6"/>
        <w:tabs>
          <w:tab w:val="left" w:pos="10348"/>
        </w:tabs>
        <w:ind w:left="107" w:right="-13" w:firstLine="709"/>
        <w:jc w:val="both"/>
      </w:pPr>
      <w:r>
        <w:t>Упрощено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оптимизировано</w:t>
      </w:r>
      <w:r>
        <w:rPr>
          <w:spacing w:val="1"/>
        </w:rPr>
        <w:t xml:space="preserve"> </w:t>
      </w:r>
      <w:r>
        <w:t>администрирование</w:t>
      </w:r>
      <w:r>
        <w:rPr>
          <w:spacing w:val="1"/>
        </w:rPr>
        <w:t xml:space="preserve"> </w:t>
      </w:r>
      <w:r>
        <w:t>арендной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земельные</w:t>
      </w:r>
      <w:r>
        <w:rPr>
          <w:spacing w:val="1"/>
        </w:rPr>
        <w:t xml:space="preserve"> </w:t>
      </w:r>
      <w:r>
        <w:t>участки,</w:t>
      </w:r>
      <w:r>
        <w:rPr>
          <w:spacing w:val="1"/>
        </w:rPr>
        <w:t xml:space="preserve"> </w:t>
      </w:r>
      <w:r>
        <w:t>находящиеся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исключены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аренды</w:t>
      </w:r>
      <w:r>
        <w:rPr>
          <w:spacing w:val="1"/>
        </w:rPr>
        <w:t xml:space="preserve"> </w:t>
      </w:r>
      <w:r>
        <w:t>земельных</w:t>
      </w:r>
      <w:r>
        <w:rPr>
          <w:spacing w:val="-1"/>
        </w:rPr>
        <w:t xml:space="preserve"> </w:t>
      </w:r>
      <w:r>
        <w:t>участков, находящихся</w:t>
      </w:r>
      <w:r>
        <w:rPr>
          <w:spacing w:val="-1"/>
        </w:rPr>
        <w:t xml:space="preserve"> </w:t>
      </w:r>
      <w:r>
        <w:t>в федеральной</w:t>
      </w:r>
      <w:r>
        <w:rPr>
          <w:spacing w:val="-2"/>
        </w:rPr>
        <w:t xml:space="preserve"> </w:t>
      </w:r>
      <w:r>
        <w:t>собственности.</w:t>
      </w:r>
    </w:p>
    <w:p w:rsidR="00B402DD" w:rsidRDefault="00B402DD" w:rsidP="00B402DD">
      <w:pPr>
        <w:pStyle w:val="a6"/>
        <w:tabs>
          <w:tab w:val="left" w:pos="10348"/>
        </w:tabs>
        <w:ind w:left="107" w:right="-13" w:firstLine="709"/>
        <w:jc w:val="both"/>
      </w:pP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сооружения, объекты незавершенного строительства, в случаях, не указанных в</w:t>
      </w:r>
      <w:r>
        <w:rPr>
          <w:spacing w:val="1"/>
        </w:rPr>
        <w:t xml:space="preserve"> </w:t>
      </w:r>
      <w:r>
        <w:t>подпунктах «а» - «д» пункта 3 и пункте 5 Правил, в случае предоставления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-12"/>
        </w:rPr>
        <w:t xml:space="preserve"> </w:t>
      </w:r>
      <w:r>
        <w:t>участка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аренду</w:t>
      </w:r>
      <w:r>
        <w:rPr>
          <w:spacing w:val="-12"/>
        </w:rPr>
        <w:t xml:space="preserve"> </w:t>
      </w:r>
      <w:r>
        <w:t>без</w:t>
      </w:r>
      <w:r>
        <w:rPr>
          <w:spacing w:val="-11"/>
        </w:rPr>
        <w:t xml:space="preserve"> </w:t>
      </w:r>
      <w:r>
        <w:t>проведения</w:t>
      </w:r>
      <w:r>
        <w:rPr>
          <w:spacing w:val="-12"/>
        </w:rPr>
        <w:t xml:space="preserve"> </w:t>
      </w:r>
      <w:r>
        <w:t>торгов</w:t>
      </w:r>
      <w:r>
        <w:rPr>
          <w:spacing w:val="-12"/>
        </w:rPr>
        <w:t xml:space="preserve"> </w:t>
      </w:r>
      <w:r>
        <w:t>арендная</w:t>
      </w:r>
      <w:r>
        <w:rPr>
          <w:spacing w:val="-11"/>
        </w:rPr>
        <w:t xml:space="preserve"> </w:t>
      </w:r>
      <w:r>
        <w:t>плата</w:t>
      </w:r>
      <w:r>
        <w:rPr>
          <w:spacing w:val="-12"/>
        </w:rPr>
        <w:t xml:space="preserve"> </w:t>
      </w:r>
      <w:r>
        <w:t>определяется</w:t>
      </w:r>
      <w:r>
        <w:rPr>
          <w:spacing w:val="-67"/>
        </w:rPr>
        <w:t xml:space="preserve"> </w:t>
      </w:r>
      <w:r>
        <w:t>на основании кадастровой стоимости земельного участка и рассчитывается в</w:t>
      </w:r>
      <w:r>
        <w:rPr>
          <w:spacing w:val="1"/>
        </w:rPr>
        <w:t xml:space="preserve"> </w:t>
      </w:r>
      <w:r>
        <w:t>размере 3%.</w:t>
      </w:r>
    </w:p>
    <w:p w:rsidR="00B402DD" w:rsidRDefault="00B402DD" w:rsidP="00B402DD">
      <w:pPr>
        <w:pStyle w:val="a6"/>
        <w:spacing w:before="89"/>
        <w:ind w:right="125"/>
        <w:jc w:val="both"/>
      </w:pPr>
      <w:r>
        <w:t xml:space="preserve">Установлено, что арендная плата, рассчитанная по результатам </w:t>
      </w:r>
      <w:proofErr w:type="gramStart"/>
      <w:r>
        <w:t>оценки</w:t>
      </w:r>
      <w:r>
        <w:rPr>
          <w:spacing w:val="1"/>
        </w:rPr>
        <w:t xml:space="preserve"> </w:t>
      </w:r>
      <w:r>
        <w:t>рыночной стоимости права аренды земельного участка</w:t>
      </w:r>
      <w:proofErr w:type="gramEnd"/>
      <w:r>
        <w:t xml:space="preserve"> до 21 февраля 2023 года,</w:t>
      </w:r>
      <w:r>
        <w:rPr>
          <w:spacing w:val="-67"/>
        </w:rPr>
        <w:t xml:space="preserve"> </w:t>
      </w:r>
      <w:r>
        <w:t>подлежит</w:t>
      </w:r>
      <w:r>
        <w:rPr>
          <w:spacing w:val="-1"/>
        </w:rPr>
        <w:t xml:space="preserve"> </w:t>
      </w:r>
      <w:r>
        <w:t>перерасчету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истечении 5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установления.</w:t>
      </w:r>
    </w:p>
    <w:p w:rsidR="00B402DD" w:rsidRDefault="00B402DD" w:rsidP="00B402DD">
      <w:pPr>
        <w:tabs>
          <w:tab w:val="left" w:pos="10348"/>
        </w:tabs>
        <w:ind w:right="-13"/>
        <w:jc w:val="both"/>
        <w:sectPr w:rsidR="00B402DD" w:rsidSect="00B402DD">
          <w:pgSz w:w="11910" w:h="16840"/>
          <w:pgMar w:top="1020" w:right="440" w:bottom="280" w:left="993" w:header="721" w:footer="0" w:gutter="0"/>
          <w:cols w:space="720"/>
        </w:sectPr>
      </w:pPr>
    </w:p>
    <w:p w:rsidR="00B402DD" w:rsidRDefault="00B402DD" w:rsidP="00B402DD">
      <w:pPr>
        <w:pStyle w:val="a6"/>
        <w:spacing w:before="3"/>
        <w:rPr>
          <w:sz w:val="20"/>
        </w:rPr>
      </w:pPr>
    </w:p>
    <w:p w:rsidR="00F83BFE" w:rsidRDefault="00F83BFE"/>
    <w:sectPr w:rsidR="00F83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61B31"/>
    <w:multiLevelType w:val="hybridMultilevel"/>
    <w:tmpl w:val="D5EC650A"/>
    <w:lvl w:ilvl="0" w:tplc="9D821B1A">
      <w:start w:val="1"/>
      <w:numFmt w:val="decimal"/>
      <w:lvlText w:val="%1."/>
      <w:lvlJc w:val="left"/>
      <w:pPr>
        <w:ind w:left="9778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5EE78DE">
      <w:numFmt w:val="bullet"/>
      <w:lvlText w:val="•"/>
      <w:lvlJc w:val="left"/>
      <w:pPr>
        <w:ind w:left="10861" w:hanging="280"/>
      </w:pPr>
      <w:rPr>
        <w:rFonts w:hint="default"/>
        <w:lang w:val="ru-RU" w:eastAsia="en-US" w:bidi="ar-SA"/>
      </w:rPr>
    </w:lvl>
    <w:lvl w:ilvl="2" w:tplc="4DD2007C">
      <w:numFmt w:val="bullet"/>
      <w:lvlText w:val="•"/>
      <w:lvlJc w:val="left"/>
      <w:pPr>
        <w:ind w:left="11952" w:hanging="280"/>
      </w:pPr>
      <w:rPr>
        <w:rFonts w:hint="default"/>
        <w:lang w:val="ru-RU" w:eastAsia="en-US" w:bidi="ar-SA"/>
      </w:rPr>
    </w:lvl>
    <w:lvl w:ilvl="3" w:tplc="E69C8DD4">
      <w:numFmt w:val="bullet"/>
      <w:lvlText w:val="•"/>
      <w:lvlJc w:val="left"/>
      <w:pPr>
        <w:ind w:left="13042" w:hanging="280"/>
      </w:pPr>
      <w:rPr>
        <w:rFonts w:hint="default"/>
        <w:lang w:val="ru-RU" w:eastAsia="en-US" w:bidi="ar-SA"/>
      </w:rPr>
    </w:lvl>
    <w:lvl w:ilvl="4" w:tplc="8A80B7D4">
      <w:numFmt w:val="bullet"/>
      <w:lvlText w:val="•"/>
      <w:lvlJc w:val="left"/>
      <w:pPr>
        <w:ind w:left="14133" w:hanging="280"/>
      </w:pPr>
      <w:rPr>
        <w:rFonts w:hint="default"/>
        <w:lang w:val="ru-RU" w:eastAsia="en-US" w:bidi="ar-SA"/>
      </w:rPr>
    </w:lvl>
    <w:lvl w:ilvl="5" w:tplc="F6A0F5D2">
      <w:numFmt w:val="bullet"/>
      <w:lvlText w:val="•"/>
      <w:lvlJc w:val="left"/>
      <w:pPr>
        <w:ind w:left="15224" w:hanging="280"/>
      </w:pPr>
      <w:rPr>
        <w:rFonts w:hint="default"/>
        <w:lang w:val="ru-RU" w:eastAsia="en-US" w:bidi="ar-SA"/>
      </w:rPr>
    </w:lvl>
    <w:lvl w:ilvl="6" w:tplc="2CDA2788">
      <w:numFmt w:val="bullet"/>
      <w:lvlText w:val="•"/>
      <w:lvlJc w:val="left"/>
      <w:pPr>
        <w:ind w:left="16314" w:hanging="280"/>
      </w:pPr>
      <w:rPr>
        <w:rFonts w:hint="default"/>
        <w:lang w:val="ru-RU" w:eastAsia="en-US" w:bidi="ar-SA"/>
      </w:rPr>
    </w:lvl>
    <w:lvl w:ilvl="7" w:tplc="D0A610D4">
      <w:numFmt w:val="bullet"/>
      <w:lvlText w:val="•"/>
      <w:lvlJc w:val="left"/>
      <w:pPr>
        <w:ind w:left="17405" w:hanging="280"/>
      </w:pPr>
      <w:rPr>
        <w:rFonts w:hint="default"/>
        <w:lang w:val="ru-RU" w:eastAsia="en-US" w:bidi="ar-SA"/>
      </w:rPr>
    </w:lvl>
    <w:lvl w:ilvl="8" w:tplc="E188E274">
      <w:numFmt w:val="bullet"/>
      <w:lvlText w:val="•"/>
      <w:lvlJc w:val="left"/>
      <w:pPr>
        <w:ind w:left="18495" w:hanging="2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4A9"/>
    <w:rsid w:val="000664A9"/>
    <w:rsid w:val="00B402DD"/>
    <w:rsid w:val="00DA553F"/>
    <w:rsid w:val="00F8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402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1"/>
    <w:qFormat/>
    <w:rsid w:val="00DA553F"/>
    <w:pPr>
      <w:keepNext/>
      <w:keepLines/>
      <w:outlineLvl w:val="0"/>
    </w:pPr>
    <w:rPr>
      <w:rFonts w:eastAsiaTheme="majorEastAsia" w:cstheme="majorBidi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553F"/>
    <w:rPr>
      <w:rFonts w:ascii="Times New Roman" w:eastAsiaTheme="majorEastAsia" w:hAnsi="Times New Roman" w:cstheme="majorBidi"/>
      <w:b/>
      <w:sz w:val="28"/>
      <w:szCs w:val="32"/>
    </w:rPr>
  </w:style>
  <w:style w:type="character" w:styleId="a3">
    <w:name w:val="Emphasis"/>
    <w:uiPriority w:val="99"/>
    <w:qFormat/>
    <w:rsid w:val="00DA553F"/>
    <w:rPr>
      <w:rFonts w:cs="Times New Roman"/>
      <w:i/>
      <w:iCs/>
    </w:rPr>
  </w:style>
  <w:style w:type="paragraph" w:styleId="a4">
    <w:name w:val="No Spacing"/>
    <w:uiPriority w:val="1"/>
    <w:qFormat/>
    <w:rsid w:val="00DA553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aliases w:val="Абзац списка нумерация,List Paragraph"/>
    <w:basedOn w:val="a"/>
    <w:uiPriority w:val="34"/>
    <w:qFormat/>
    <w:rsid w:val="00DA553F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B402DD"/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B402DD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402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1"/>
    <w:qFormat/>
    <w:rsid w:val="00DA553F"/>
    <w:pPr>
      <w:keepNext/>
      <w:keepLines/>
      <w:outlineLvl w:val="0"/>
    </w:pPr>
    <w:rPr>
      <w:rFonts w:eastAsiaTheme="majorEastAsia" w:cstheme="majorBidi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553F"/>
    <w:rPr>
      <w:rFonts w:ascii="Times New Roman" w:eastAsiaTheme="majorEastAsia" w:hAnsi="Times New Roman" w:cstheme="majorBidi"/>
      <w:b/>
      <w:sz w:val="28"/>
      <w:szCs w:val="32"/>
    </w:rPr>
  </w:style>
  <w:style w:type="character" w:styleId="a3">
    <w:name w:val="Emphasis"/>
    <w:uiPriority w:val="99"/>
    <w:qFormat/>
    <w:rsid w:val="00DA553F"/>
    <w:rPr>
      <w:rFonts w:cs="Times New Roman"/>
      <w:i/>
      <w:iCs/>
    </w:rPr>
  </w:style>
  <w:style w:type="paragraph" w:styleId="a4">
    <w:name w:val="No Spacing"/>
    <w:uiPriority w:val="1"/>
    <w:qFormat/>
    <w:rsid w:val="00DA553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aliases w:val="Абзац списка нумерация,List Paragraph"/>
    <w:basedOn w:val="a"/>
    <w:uiPriority w:val="34"/>
    <w:qFormat/>
    <w:rsid w:val="00DA553F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B402DD"/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B402DD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2023-04-07T05:47:00Z</dcterms:created>
  <dcterms:modified xsi:type="dcterms:W3CDTF">2023-04-07T05:48:00Z</dcterms:modified>
</cp:coreProperties>
</file>