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4"/>
        <w:gridCol w:w="279"/>
        <w:gridCol w:w="282"/>
      </w:tblGrid>
      <w:tr w:rsidR="007F5BD1" w:rsidRPr="00016249" w:rsidTr="00EF67DE">
        <w:trPr>
          <w:trHeight w:val="9039"/>
        </w:trPr>
        <w:tc>
          <w:tcPr>
            <w:tcW w:w="10054" w:type="dxa"/>
            <w:hideMark/>
          </w:tcPr>
          <w:tbl>
            <w:tblPr>
              <w:tblW w:w="10066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3763"/>
              <w:gridCol w:w="1700"/>
              <w:gridCol w:w="4603"/>
            </w:tblGrid>
            <w:tr w:rsidR="00542429" w:rsidRPr="00B74157" w:rsidTr="00EF67DE">
              <w:trPr>
                <w:trHeight w:val="447"/>
              </w:trPr>
              <w:tc>
                <w:tcPr>
                  <w:tcW w:w="3763" w:type="dxa"/>
                  <w:hideMark/>
                </w:tcPr>
                <w:p w:rsidR="00542429" w:rsidRPr="006B3035" w:rsidRDefault="00542429" w:rsidP="00EF67DE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6B3035">
                    <w:rPr>
                      <w:rFonts w:eastAsia="Arial Unicode MS"/>
                      <w:b/>
                      <w:cap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Урта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Ҡарамалы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ауыл</w:t>
                  </w:r>
                  <w:proofErr w:type="spellEnd"/>
                  <w:r w:rsidRPr="006B3035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советы </w:t>
                  </w:r>
                </w:p>
                <w:p w:rsidR="00542429" w:rsidRPr="006B3035" w:rsidRDefault="00542429" w:rsidP="00EF67DE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ауыл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билə</w:t>
                  </w:r>
                  <w:proofErr w:type="gram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м</w:t>
                  </w:r>
                  <w:proofErr w:type="gram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ə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val="en-US" w:eastAsia="en-US"/>
                    </w:rPr>
                    <w:t>h</w:t>
                  </w:r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е советы </w:t>
                  </w:r>
                </w:p>
                <w:p w:rsidR="00542429" w:rsidRPr="006B3035" w:rsidRDefault="00542429" w:rsidP="00EF67DE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муниципаль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районының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542429" w:rsidRPr="006B3035" w:rsidRDefault="00542429" w:rsidP="00EF67DE">
                  <w:pPr>
                    <w:tabs>
                      <w:tab w:val="left" w:pos="1200"/>
                    </w:tabs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Йəрмəĸəй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 районы </w:t>
                  </w:r>
                </w:p>
                <w:p w:rsidR="00542429" w:rsidRPr="006B3035" w:rsidRDefault="00542429" w:rsidP="00EF67DE">
                  <w:pPr>
                    <w:tabs>
                      <w:tab w:val="left" w:pos="1200"/>
                    </w:tabs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Баш</w:t>
                  </w:r>
                  <w:proofErr w:type="gram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k</w:t>
                  </w:r>
                  <w:proofErr w:type="gram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ортостан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Республиĸаhы</w:t>
                  </w:r>
                  <w:proofErr w:type="spellEnd"/>
                </w:p>
              </w:tc>
              <w:tc>
                <w:tcPr>
                  <w:tcW w:w="1700" w:type="dxa"/>
                  <w:hideMark/>
                </w:tcPr>
                <w:p w:rsidR="00542429" w:rsidRPr="006B3035" w:rsidRDefault="00542429" w:rsidP="00EF67DE">
                  <w:pPr>
                    <w:tabs>
                      <w:tab w:val="left" w:pos="1200"/>
                    </w:tabs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2" w:type="dxa"/>
                  <w:hideMark/>
                </w:tcPr>
                <w:p w:rsidR="00542429" w:rsidRDefault="00542429" w:rsidP="00EF67DE">
                  <w:pPr>
                    <w:tabs>
                      <w:tab w:val="left" w:pos="1200"/>
                    </w:tabs>
                    <w:ind w:left="-69"/>
                    <w:jc w:val="center"/>
                    <w:rPr>
                      <w:b/>
                      <w:spacing w:val="-6"/>
                      <w:sz w:val="20"/>
                      <w:szCs w:val="20"/>
                      <w:lang w:eastAsia="en-US"/>
                    </w:rPr>
                  </w:pPr>
                  <w:r w:rsidRPr="006B3035">
                    <w:rPr>
                      <w:b/>
                      <w:spacing w:val="-6"/>
                      <w:sz w:val="20"/>
                      <w:szCs w:val="20"/>
                      <w:lang w:eastAsia="en-US"/>
                    </w:rPr>
                    <w:t>Совет сельского поселения</w:t>
                  </w:r>
                </w:p>
                <w:p w:rsidR="00542429" w:rsidRDefault="00542429" w:rsidP="00EF67DE">
                  <w:pPr>
                    <w:tabs>
                      <w:tab w:val="left" w:pos="1200"/>
                    </w:tabs>
                    <w:ind w:left="-69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6B3035">
                    <w:rPr>
                      <w:b/>
                      <w:spacing w:val="-6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Среднекарамалинский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 сельсовет муниципального района </w:t>
                  </w:r>
                </w:p>
                <w:p w:rsidR="00542429" w:rsidRPr="006B3035" w:rsidRDefault="00542429" w:rsidP="00EF67DE">
                  <w:pPr>
                    <w:tabs>
                      <w:tab w:val="left" w:pos="1200"/>
                    </w:tabs>
                    <w:ind w:left="-69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>Ермекеевский</w:t>
                  </w:r>
                  <w:proofErr w:type="spellEnd"/>
                  <w:r w:rsidRPr="006B3035">
                    <w:rPr>
                      <w:b/>
                      <w:sz w:val="20"/>
                      <w:szCs w:val="20"/>
                      <w:lang w:val="en-US" w:eastAsia="en-US"/>
                    </w:rPr>
                    <w:t> </w:t>
                  </w:r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район </w:t>
                  </w:r>
                </w:p>
                <w:p w:rsidR="00542429" w:rsidRPr="006B3035" w:rsidRDefault="00542429" w:rsidP="00EF67DE">
                  <w:pPr>
                    <w:tabs>
                      <w:tab w:val="left" w:pos="1200"/>
                    </w:tabs>
                    <w:ind w:left="-69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6B3035">
                    <w:rPr>
                      <w:b/>
                      <w:sz w:val="20"/>
                      <w:szCs w:val="20"/>
                      <w:lang w:eastAsia="en-US"/>
                    </w:rPr>
                    <w:t xml:space="preserve">Республики Башкортостан </w:t>
                  </w:r>
                </w:p>
              </w:tc>
            </w:tr>
            <w:tr w:rsidR="00542429" w:rsidRPr="00B74157" w:rsidTr="00EF67DE">
              <w:trPr>
                <w:trHeight w:val="450"/>
              </w:trPr>
              <w:tc>
                <w:tcPr>
                  <w:tcW w:w="3763" w:type="dxa"/>
                  <w:hideMark/>
                </w:tcPr>
                <w:p w:rsidR="00542429" w:rsidRPr="00B74157" w:rsidRDefault="00542429" w:rsidP="00EF67DE">
                  <w:pPr>
                    <w:tabs>
                      <w:tab w:val="left" w:pos="1200"/>
                    </w:tabs>
                    <w:ind w:right="-108"/>
                    <w:jc w:val="center"/>
                    <w:rPr>
                      <w:rFonts w:ascii="Calibri" w:hAnsi="Calibri"/>
                      <w:sz w:val="22"/>
                      <w:szCs w:val="20"/>
                      <w:lang w:eastAsia="en-US"/>
                    </w:rPr>
                  </w:pPr>
                  <w:r w:rsidRPr="00B74157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6A39D7" wp14:editId="5B39CAFD">
                            <wp:simplePos x="0" y="0"/>
                            <wp:positionH relativeFrom="margin">
                              <wp:posOffset>-374015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6737350" cy="17145"/>
                            <wp:effectExtent l="19050" t="19050" r="6350" b="20955"/>
                            <wp:wrapNone/>
                            <wp:docPr id="18" name="Прямая соединительная линия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737350" cy="171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1275" cap="flat" cmpd="thinThick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45pt,15.75pt" to="501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" strokecolor="windowText" strokeweight="3.25pt">
                            <v:stroke linestyle="thinThick"/>
                            <o:lock v:ext="edit" shapetype="f"/>
                            <w10:wrap anchorx="margin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700" w:type="dxa"/>
                </w:tcPr>
                <w:p w:rsidR="00542429" w:rsidRPr="00B74157" w:rsidRDefault="00542429" w:rsidP="00EF67DE">
                  <w:pPr>
                    <w:tabs>
                      <w:tab w:val="left" w:pos="1200"/>
                    </w:tabs>
                    <w:rPr>
                      <w:rFonts w:ascii="Calibri" w:hAnsi="Calibri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4602" w:type="dxa"/>
                </w:tcPr>
                <w:p w:rsidR="00542429" w:rsidRPr="00B74157" w:rsidRDefault="00542429" w:rsidP="00EF67DE">
                  <w:pPr>
                    <w:tabs>
                      <w:tab w:val="left" w:pos="1200"/>
                    </w:tabs>
                    <w:ind w:left="-108"/>
                    <w:jc w:val="center"/>
                    <w:rPr>
                      <w:rFonts w:ascii="Calibri" w:hAnsi="Calibri"/>
                      <w:spacing w:val="-4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542429" w:rsidRPr="00B74157" w:rsidTr="00EF67DE">
              <w:trPr>
                <w:trHeight w:val="798"/>
              </w:trPr>
              <w:tc>
                <w:tcPr>
                  <w:tcW w:w="10066" w:type="dxa"/>
                  <w:gridSpan w:val="3"/>
                </w:tcPr>
                <w:p w:rsidR="00542429" w:rsidRPr="006B3035" w:rsidRDefault="00542429" w:rsidP="00EF67DE">
                  <w:pPr>
                    <w:tabs>
                      <w:tab w:val="left" w:pos="3960"/>
                    </w:tabs>
                  </w:pPr>
                  <w:r w:rsidRPr="006B3035">
                    <w:rPr>
                      <w:rFonts w:ascii="Calibri" w:hAnsi="Calibri"/>
                      <w:lang w:eastAsia="en-US"/>
                    </w:rPr>
                    <w:t xml:space="preserve">                  </w:t>
                  </w:r>
                  <w:r w:rsidRPr="006B3035">
                    <w:rPr>
                      <w:rFonts w:eastAsia="Arial Unicode MS"/>
                      <w:b/>
                      <w:bCs/>
                      <w:caps/>
                    </w:rPr>
                    <w:t>Ҡарар</w:t>
                  </w:r>
                  <w:r w:rsidRPr="006B3035">
                    <w:rPr>
                      <w:b/>
                      <w:bCs/>
                    </w:rPr>
                    <w:t xml:space="preserve">                               </w:t>
                  </w:r>
                  <w:r>
                    <w:rPr>
                      <w:b/>
                      <w:bCs/>
                    </w:rPr>
                    <w:t xml:space="preserve">        </w:t>
                  </w:r>
                  <w:r w:rsidRPr="006B3035">
                    <w:rPr>
                      <w:b/>
                      <w:bCs/>
                    </w:rPr>
                    <w:t xml:space="preserve"> № 24/</w:t>
                  </w:r>
                  <w:r>
                    <w:rPr>
                      <w:b/>
                      <w:bCs/>
                    </w:rPr>
                    <w:t>6</w:t>
                  </w:r>
                  <w:r w:rsidRPr="006B3035">
                    <w:rPr>
                      <w:bCs/>
                    </w:rPr>
                    <w:t xml:space="preserve">                              </w:t>
                  </w:r>
                  <w:r>
                    <w:rPr>
                      <w:bCs/>
                    </w:rPr>
                    <w:t xml:space="preserve"> </w:t>
                  </w:r>
                  <w:r w:rsidRPr="006B3035">
                    <w:rPr>
                      <w:bCs/>
                    </w:rPr>
                    <w:t xml:space="preserve"> </w:t>
                  </w:r>
                  <w:r w:rsidRPr="006B3035">
                    <w:rPr>
                      <w:b/>
                      <w:bCs/>
                    </w:rPr>
                    <w:t>РЕШЕНИЕ</w:t>
                  </w:r>
                </w:p>
                <w:p w:rsidR="00542429" w:rsidRPr="006B3035" w:rsidRDefault="00542429" w:rsidP="00EF67DE">
                  <w:pPr>
                    <w:rPr>
                      <w:b/>
                      <w:bCs/>
                    </w:rPr>
                  </w:pPr>
                  <w:r w:rsidRPr="006B3035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6B3035">
                    <w:rPr>
                      <w:b/>
                      <w:bCs/>
                    </w:rPr>
                    <w:t xml:space="preserve"> 09</w:t>
                  </w:r>
                  <w:r w:rsidRPr="006B3035">
                    <w:rPr>
                      <w:b/>
                    </w:rPr>
                    <w:t xml:space="preserve"> февраль  2022 й.                                                         </w:t>
                  </w:r>
                  <w:r>
                    <w:rPr>
                      <w:b/>
                    </w:rPr>
                    <w:t xml:space="preserve">          </w:t>
                  </w:r>
                  <w:r w:rsidRPr="006B3035">
                    <w:rPr>
                      <w:b/>
                    </w:rPr>
                    <w:t xml:space="preserve"> 09 февраля 2022 г. </w:t>
                  </w:r>
                  <w:r w:rsidRPr="006B3035">
                    <w:rPr>
                      <w:rFonts w:cs="Arial"/>
                      <w:b/>
                      <w:spacing w:val="3"/>
                    </w:rPr>
                    <w:t> </w:t>
                  </w:r>
                </w:p>
                <w:p w:rsidR="00542429" w:rsidRPr="006B3035" w:rsidRDefault="00542429" w:rsidP="00EF67DE">
                  <w:pPr>
                    <w:pStyle w:val="a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42429" w:rsidRPr="00B74157" w:rsidRDefault="00542429" w:rsidP="00EF67DE">
                  <w:pPr>
                    <w:tabs>
                      <w:tab w:val="left" w:pos="555"/>
                      <w:tab w:val="left" w:pos="1200"/>
                    </w:tabs>
                    <w:rPr>
                      <w:rFonts w:ascii="Calibri" w:hAnsi="Calibri"/>
                      <w:sz w:val="22"/>
                      <w:szCs w:val="20"/>
                      <w:lang w:eastAsia="en-US"/>
                    </w:rPr>
                  </w:pPr>
                </w:p>
              </w:tc>
            </w:tr>
          </w:tbl>
          <w:p w:rsidR="00542429" w:rsidRDefault="00542429" w:rsidP="00542429"/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bookmarkStart w:id="0" w:name="_GoBack"/>
            <w:r w:rsidRPr="00CC3A26">
              <w:rPr>
                <w:rFonts w:ascii="Times New Roman CYR" w:hAnsi="Times New Roman CYR" w:cs="Times New Roman CYR"/>
              </w:rPr>
              <w:t xml:space="preserve">О внесении изменений в решение Совета сельского поселения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Среднекарамалинский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сельсовет муниципального района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Ермекеевский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район Республики Башкортостан от  22.12.2020. № 15/6  «Об утверждении Положения о бюджетном процессе в сельском поселении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Среднекарамалинский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сельсовет муниципального района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Ермекеевский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район Республики Башкортостан»</w:t>
            </w:r>
          </w:p>
          <w:bookmarkEnd w:id="0"/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C3A26">
              <w:rPr>
                <w:rFonts w:ascii="Times New Roman CYR" w:hAnsi="Times New Roman CYR" w:cs="Times New Roman CYR"/>
              </w:rPr>
              <w:t xml:space="preserve">Рассмотрев протест прокуратуры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Ермекеевского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района от 31.01.2022 г. за № 3-1-2022 и руководствуясь Федеральными законами от 28.06.2021 № 228-ФЗ, от 01.07.2021 № 244-ФЗ и от 29.11.2021 № 384-ФЗ с внесёнными изменениями в Бюджетный кодекс РФ, Совет сельского поселения 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Среднекарамалинский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сельсовет муниципального района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Ермекеевский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район Республики Башкортостан РЕШИЛ:</w:t>
            </w:r>
          </w:p>
          <w:p w:rsidR="00542429" w:rsidRPr="00CC3A26" w:rsidRDefault="00542429" w:rsidP="0054242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 CYR" w:hAnsi="Times New Roman CYR" w:cs="Times New Roman CYR"/>
              </w:rPr>
            </w:pPr>
            <w:r w:rsidRPr="00CC3A26">
              <w:rPr>
                <w:rFonts w:ascii="Times New Roman CYR" w:hAnsi="Times New Roman CYR" w:cs="Times New Roman CYR"/>
                <w:b/>
              </w:rPr>
              <w:t xml:space="preserve">Статью 14 ч. 3 изменить </w:t>
            </w:r>
            <w:proofErr w:type="gramStart"/>
            <w:r w:rsidRPr="00CC3A26">
              <w:rPr>
                <w:rFonts w:ascii="Times New Roman CYR" w:hAnsi="Times New Roman CYR" w:cs="Times New Roman CYR"/>
                <w:b/>
              </w:rPr>
              <w:t>на</w:t>
            </w:r>
            <w:proofErr w:type="gramEnd"/>
            <w:r w:rsidRPr="00CC3A26">
              <w:rPr>
                <w:rFonts w:ascii="Times New Roman CYR" w:hAnsi="Times New Roman CYR" w:cs="Times New Roman CYR"/>
              </w:rPr>
              <w:t>: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CC3A26">
              <w:rPr>
                <w:rFonts w:ascii="Times New Roman CYR" w:hAnsi="Times New Roman CYR" w:cs="Times New Roman CYR"/>
              </w:rPr>
              <w:t xml:space="preserve">«Нормативные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</w:t>
            </w:r>
            <w:r w:rsidRPr="00CC3A26">
              <w:rPr>
                <w:rFonts w:ascii="Times New Roman CYR" w:hAnsi="Times New Roman CYR" w:cs="Times New Roman CYR"/>
                <w:color w:val="106BBE"/>
              </w:rPr>
              <w:t>общим требованиям</w:t>
            </w:r>
            <w:r w:rsidRPr="00CC3A26">
              <w:rPr>
                <w:rFonts w:ascii="Times New Roman CYR" w:hAnsi="Times New Roman CYR" w:cs="Times New Roman CYR"/>
              </w:rPr>
              <w:t>, установленным Правительством Российской Федерации, и определять:</w:t>
            </w:r>
            <w:proofErr w:type="gramEnd"/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bookmarkStart w:id="1" w:name="sub_7831"/>
            <w:proofErr w:type="gramStart"/>
            <w:r w:rsidRPr="00CC3A26">
              <w:rPr>
                <w:rFonts w:ascii="Times New Roman CYR" w:hAnsi="Times New Roman CYR" w:cs="Times New Roman CYR"/>
              </w:rPr>
      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      </w:r>
            <w:proofErr w:type="gramEnd"/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bookmarkStart w:id="2" w:name="sub_7832"/>
            <w:bookmarkEnd w:id="1"/>
            <w:r w:rsidRPr="00CC3A26">
              <w:rPr>
                <w:rFonts w:ascii="Times New Roman CYR" w:hAnsi="Times New Roman CYR" w:cs="Times New Roman CYR"/>
              </w:rPr>
              <w:t>2) цели, условия и порядок предоставления субсидий;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bookmarkStart w:id="3" w:name="sub_7833"/>
            <w:bookmarkEnd w:id="2"/>
            <w:r w:rsidRPr="00CC3A26">
              <w:rPr>
                <w:rFonts w:ascii="Times New Roman CYR" w:hAnsi="Times New Roman CYR" w:cs="Times New Roman CYR"/>
              </w:rPr>
              <w:t>3) порядок возврата субсидий в соответствующий бюджет в случае нарушения условий, установленных при их предоставлении;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bookmarkStart w:id="4" w:name="sub_7834"/>
            <w:bookmarkEnd w:id="3"/>
            <w:proofErr w:type="gramStart"/>
            <w:r w:rsidRPr="00CC3A26">
              <w:rPr>
                <w:rFonts w:ascii="Times New Roman CYR" w:hAnsi="Times New Roman CYR" w:cs="Times New Roman CYR"/>
              </w:rPr>
      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      </w:r>
            <w:proofErr w:type="gramEnd"/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 CYR" w:hAnsi="Times New Roman CYR" w:cs="Times New Roman CYR"/>
              </w:rPr>
            </w:pPr>
            <w:bookmarkStart w:id="5" w:name="sub_785"/>
            <w:bookmarkEnd w:id="4"/>
            <w:r w:rsidRPr="00CC3A26">
              <w:rPr>
                <w:rFonts w:ascii="Times New Roman CYR" w:hAnsi="Times New Roman CYR" w:cs="Times New Roman CYR"/>
              </w:rPr>
              <w:t xml:space="preserve">5. </w:t>
            </w:r>
            <w:proofErr w:type="gramStart"/>
            <w:r w:rsidRPr="00CC3A26">
              <w:rPr>
                <w:rFonts w:ascii="Times New Roman CYR" w:hAnsi="Times New Roman CYR" w:cs="Times New Roman CYR"/>
              </w:rPr>
      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      </w:r>
            <w:proofErr w:type="gramEnd"/>
            <w:r w:rsidRPr="00CC3A26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CC3A26">
              <w:rPr>
                <w:rFonts w:ascii="Times New Roman CYR" w:hAnsi="Times New Roman CYR" w:cs="Times New Roman CYR"/>
              </w:rPr>
      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      </w:r>
            <w:proofErr w:type="gramEnd"/>
            <w:r w:rsidRPr="00CC3A26">
              <w:rPr>
                <w:rFonts w:ascii="Times New Roman CYR" w:hAnsi="Times New Roman CYR" w:cs="Times New Roman CYR"/>
              </w:rPr>
              <w:t xml:space="preserve"> (распорядителем) бюджетных средств, предоставившим субсидии, и органами государственного (муниципального) финансового </w:t>
            </w:r>
            <w:r w:rsidRPr="00CC3A26">
              <w:rPr>
                <w:rFonts w:ascii="Times New Roman CYR" w:hAnsi="Times New Roman CYR" w:cs="Times New Roman CYR"/>
              </w:rPr>
              <w:lastRenderedPageBreak/>
              <w:t>контроля проверок соблюдения ими условий, целей и порядка предоставления субсидий.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bookmarkEnd w:id="5"/>
          <w:p w:rsidR="00542429" w:rsidRPr="00CC3A26" w:rsidRDefault="00542429" w:rsidP="0054242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b/>
              </w:rPr>
            </w:pPr>
            <w:r w:rsidRPr="00CC3A26">
              <w:rPr>
                <w:rFonts w:ascii="Times New Roman CYR" w:hAnsi="Times New Roman CYR" w:cs="Times New Roman CYR"/>
                <w:b/>
              </w:rPr>
              <w:t xml:space="preserve">Статью 15 ч. 2 изменить </w:t>
            </w:r>
            <w:proofErr w:type="gramStart"/>
            <w:r w:rsidRPr="00CC3A26">
              <w:rPr>
                <w:rFonts w:ascii="Times New Roman CYR" w:hAnsi="Times New Roman CYR" w:cs="Times New Roman CYR"/>
                <w:b/>
              </w:rPr>
              <w:t>на</w:t>
            </w:r>
            <w:proofErr w:type="gramEnd"/>
            <w:r w:rsidRPr="00CC3A26">
              <w:rPr>
                <w:rFonts w:ascii="Times New Roman CYR" w:hAnsi="Times New Roman CYR" w:cs="Times New Roman CYR"/>
                <w:b/>
              </w:rPr>
              <w:t>: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C3A26">
              <w:rPr>
                <w:rFonts w:ascii="Times New Roman CYR" w:hAnsi="Times New Roman CYR" w:cs="Times New Roman CYR"/>
              </w:rPr>
              <w:t xml:space="preserve">В решении о  бюджете сельского поселения  могут предусматриваться 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C3A26">
              <w:rPr>
                <w:rFonts w:ascii="Times New Roman CYR" w:hAnsi="Times New Roman CYR" w:cs="Times New Roman CYR"/>
              </w:rPr>
              <w:t>субсидии иным некоммерческим организациям, не являющимся государственными (муниципальными) учреждениями.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bookmarkStart w:id="6" w:name="sub_78123"/>
            <w:r w:rsidRPr="00CC3A26">
              <w:rPr>
                <w:rFonts w:ascii="Times New Roman CYR" w:hAnsi="Times New Roman CYR" w:cs="Times New Roman CYR"/>
              </w:rPr>
              <w:t xml:space="preserve">Порядок определения объема и предоставления указанных субсидий из местного бюджета устанавливается соответственно муниципальными правовыми актами сельского поселения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Среднекарамалинский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сельсовет или нормативными правовыми актами (муниципальными правовыми актами) уполномоченных ими соответственно органов местного самоуправления. </w:t>
            </w:r>
            <w:proofErr w:type="gramStart"/>
            <w:r w:rsidRPr="00CC3A26">
              <w:rPr>
                <w:rFonts w:ascii="Times New Roman CYR" w:hAnsi="Times New Roman CYR" w:cs="Times New Roman CYR"/>
              </w:rPr>
              <w:t xml:space="preserve">Указанные нормативные правовые акты, муниципальные правовые акты должны соответствовать </w:t>
            </w:r>
            <w:r w:rsidRPr="00CC3A26">
              <w:rPr>
                <w:rFonts w:ascii="Times New Roman CYR" w:hAnsi="Times New Roman CYR" w:cs="Times New Roman CYR"/>
                <w:color w:val="106BBE"/>
              </w:rPr>
              <w:t>общим требованиям</w:t>
            </w:r>
            <w:r w:rsidRPr="00CC3A26">
              <w:rPr>
                <w:rFonts w:ascii="Times New Roman CYR" w:hAnsi="Times New Roman CYR" w:cs="Times New Roman CYR"/>
              </w:rPr>
      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      </w:r>
            <w:proofErr w:type="gramEnd"/>
          </w:p>
          <w:bookmarkEnd w:id="6"/>
          <w:p w:rsidR="00542429" w:rsidRPr="00CC3A26" w:rsidRDefault="00542429" w:rsidP="0054242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 w:rsidRPr="00CC3A26">
              <w:rPr>
                <w:rFonts w:ascii="Times New Roman CYR" w:hAnsi="Times New Roman CYR" w:cs="Times New Roman CYR"/>
                <w:b/>
              </w:rPr>
              <w:t xml:space="preserve">Статью 15 ч. 3 изменить </w:t>
            </w:r>
            <w:proofErr w:type="gramStart"/>
            <w:r w:rsidRPr="00CC3A26">
              <w:rPr>
                <w:rFonts w:ascii="Times New Roman CYR" w:hAnsi="Times New Roman CYR" w:cs="Times New Roman CYR"/>
                <w:b/>
              </w:rPr>
              <w:t>на</w:t>
            </w:r>
            <w:proofErr w:type="gramEnd"/>
            <w:r w:rsidRPr="00CC3A26">
              <w:rPr>
                <w:rFonts w:ascii="Times New Roman CYR" w:hAnsi="Times New Roman CYR" w:cs="Times New Roman CYR"/>
                <w:b/>
              </w:rPr>
              <w:t>: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CC3A26">
              <w:rPr>
                <w:rFonts w:ascii="Times New Roman CYR" w:hAnsi="Times New Roman CYR" w:cs="Times New Roman CYR"/>
              </w:rPr>
              <w:t xml:space="preserve">При предоставлении субсидий, указанных в </w:t>
            </w:r>
            <w:r w:rsidRPr="00CC3A26">
              <w:rPr>
                <w:rFonts w:ascii="Times New Roman CYR" w:hAnsi="Times New Roman CYR" w:cs="Times New Roman CYR"/>
                <w:color w:val="106BBE"/>
              </w:rPr>
              <w:t>пункте 2</w:t>
            </w:r>
            <w:r w:rsidRPr="00CC3A26">
              <w:rPr>
                <w:rFonts w:ascii="Times New Roman CYR" w:hAnsi="Times New Roman CYR" w:cs="Times New Roman CYR"/>
              </w:rPr>
              <w:t xml:space="preserve"> статьи 15,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      </w:r>
            <w:proofErr w:type="gramEnd"/>
            <w:r w:rsidRPr="00CC3A26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CC3A26">
              <w:rPr>
                <w:rFonts w:ascii="Times New Roman CYR" w:hAnsi="Times New Roman CYR" w:cs="Times New Roman CYR"/>
              </w:rPr>
      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      </w:r>
            <w:proofErr w:type="gramEnd"/>
            <w:r w:rsidRPr="00CC3A26">
              <w:rPr>
                <w:rFonts w:ascii="Times New Roman CYR" w:hAnsi="Times New Roman CYR" w:cs="Times New Roman CYR"/>
              </w:rPr>
              <w:t xml:space="preserve">, осуществляемых в соответствии с </w:t>
            </w:r>
            <w:r w:rsidRPr="00CC3A26">
              <w:rPr>
                <w:rFonts w:ascii="Times New Roman CYR" w:hAnsi="Times New Roman CYR" w:cs="Times New Roman CYR"/>
                <w:color w:val="106BBE"/>
              </w:rPr>
              <w:t>валютным законодательством</w:t>
            </w:r>
            <w:r w:rsidRPr="00CC3A26">
              <w:rPr>
                <w:rFonts w:ascii="Times New Roman CYR" w:hAnsi="Times New Roman CYR" w:cs="Times New Roman CYR"/>
              </w:rPr>
      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C3A26">
              <w:rPr>
                <w:rFonts w:ascii="Times New Roman CYR" w:hAnsi="Times New Roman CYR" w:cs="Times New Roman CYR"/>
              </w:rPr>
              <w:t xml:space="preserve"> Глава сельского поселения</w:t>
            </w:r>
          </w:p>
          <w:p w:rsidR="00542429" w:rsidRDefault="00542429" w:rsidP="00542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C3A2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Среднекарамалинский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сельсовет</w:t>
            </w:r>
          </w:p>
          <w:p w:rsidR="00542429" w:rsidRDefault="00542429" w:rsidP="00542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Муниципального района</w:t>
            </w:r>
          </w:p>
          <w:p w:rsidR="00542429" w:rsidRDefault="00542429" w:rsidP="00542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Ермекеевский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</w:t>
            </w:r>
          </w:p>
          <w:p w:rsidR="00542429" w:rsidRPr="00CC3A26" w:rsidRDefault="00542429" w:rsidP="00542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Республики Башкортостан</w:t>
            </w:r>
            <w:r w:rsidRPr="00CC3A26">
              <w:rPr>
                <w:rFonts w:ascii="Times New Roman CYR" w:hAnsi="Times New Roman CYR" w:cs="Times New Roman CYR"/>
              </w:rPr>
              <w:tab/>
            </w:r>
            <w:r w:rsidRPr="00CC3A26">
              <w:rPr>
                <w:rFonts w:ascii="Times New Roman CYR" w:hAnsi="Times New Roman CYR" w:cs="Times New Roman CYR"/>
              </w:rPr>
              <w:tab/>
              <w:t xml:space="preserve">         </w:t>
            </w:r>
            <w:r>
              <w:rPr>
                <w:rFonts w:ascii="Times New Roman CYR" w:hAnsi="Times New Roman CYR" w:cs="Times New Roman CYR"/>
              </w:rPr>
              <w:t xml:space="preserve">                                </w:t>
            </w:r>
            <w:r w:rsidRPr="00CC3A26">
              <w:rPr>
                <w:rFonts w:ascii="Times New Roman CYR" w:hAnsi="Times New Roman CYR" w:cs="Times New Roman CYR"/>
              </w:rPr>
              <w:tab/>
            </w:r>
            <w:r w:rsidRPr="00CC3A26"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</w:rPr>
              <w:t xml:space="preserve">          </w:t>
            </w:r>
            <w:r w:rsidRPr="00CC3A26">
              <w:rPr>
                <w:rFonts w:ascii="Times New Roman CYR" w:hAnsi="Times New Roman CYR" w:cs="Times New Roman CYR"/>
              </w:rPr>
              <w:t xml:space="preserve">Р.Б. </w:t>
            </w:r>
            <w:proofErr w:type="spellStart"/>
            <w:r w:rsidRPr="00CC3A26">
              <w:rPr>
                <w:rFonts w:ascii="Times New Roman CYR" w:hAnsi="Times New Roman CYR" w:cs="Times New Roman CYR"/>
              </w:rPr>
              <w:t>Галиуллин</w:t>
            </w:r>
            <w:proofErr w:type="spellEnd"/>
            <w:r w:rsidRPr="00CC3A26">
              <w:rPr>
                <w:rFonts w:ascii="Times New Roman CYR" w:hAnsi="Times New Roman CYR" w:cs="Times New Roman CYR"/>
              </w:rPr>
              <w:t xml:space="preserve">  </w:t>
            </w:r>
          </w:p>
          <w:p w:rsidR="00542429" w:rsidRDefault="00542429" w:rsidP="00542429"/>
          <w:p w:rsidR="00542429" w:rsidRDefault="00542429" w:rsidP="00542429"/>
          <w:p w:rsidR="00542429" w:rsidRDefault="00542429" w:rsidP="00542429"/>
          <w:p w:rsidR="00542429" w:rsidRDefault="00542429" w:rsidP="00542429"/>
          <w:p w:rsidR="00542429" w:rsidRDefault="00542429" w:rsidP="00542429"/>
          <w:p w:rsidR="00542429" w:rsidRDefault="00542429" w:rsidP="00542429"/>
          <w:p w:rsidR="00542429" w:rsidRDefault="00542429" w:rsidP="00542429"/>
          <w:p w:rsidR="00542429" w:rsidRDefault="00542429" w:rsidP="00542429"/>
          <w:p w:rsidR="00542429" w:rsidRDefault="00542429" w:rsidP="00542429"/>
          <w:p w:rsidR="00542429" w:rsidRDefault="00542429" w:rsidP="00542429"/>
          <w:p w:rsidR="007F5BD1" w:rsidRPr="00016249" w:rsidRDefault="00542429" w:rsidP="00EF67DE">
            <w:pPr>
              <w:tabs>
                <w:tab w:val="left" w:pos="1200"/>
              </w:tabs>
            </w:pPr>
            <w:r>
              <w:rPr>
                <w:rFonts w:eastAsia="Arial Unicode MS"/>
                <w:b/>
                <w:caps/>
              </w:rPr>
              <w:t xml:space="preserve"> </w:t>
            </w:r>
          </w:p>
        </w:tc>
        <w:tc>
          <w:tcPr>
            <w:tcW w:w="279" w:type="dxa"/>
            <w:hideMark/>
          </w:tcPr>
          <w:p w:rsidR="007F5BD1" w:rsidRPr="00016249" w:rsidRDefault="007F5BD1" w:rsidP="00EF67DE"/>
        </w:tc>
        <w:tc>
          <w:tcPr>
            <w:tcW w:w="282" w:type="dxa"/>
            <w:hideMark/>
          </w:tcPr>
          <w:p w:rsidR="007F5BD1" w:rsidRPr="00016249" w:rsidRDefault="007F5BD1" w:rsidP="00EF67DE">
            <w:pPr>
              <w:tabs>
                <w:tab w:val="left" w:pos="1200"/>
              </w:tabs>
              <w:ind w:left="-2234" w:firstLine="2165"/>
              <w:jc w:val="center"/>
            </w:pPr>
            <w:r w:rsidRPr="00016249">
              <w:rPr>
                <w:b/>
                <w:spacing w:val="-6"/>
              </w:rPr>
              <w:t xml:space="preserve"> </w:t>
            </w:r>
          </w:p>
        </w:tc>
      </w:tr>
      <w:tr w:rsidR="007F5BD1" w:rsidRPr="00016249" w:rsidTr="00EF67DE">
        <w:trPr>
          <w:trHeight w:val="113"/>
        </w:trPr>
        <w:tc>
          <w:tcPr>
            <w:tcW w:w="10054" w:type="dxa"/>
          </w:tcPr>
          <w:p w:rsidR="007F5BD1" w:rsidRPr="00016249" w:rsidRDefault="007F5BD1" w:rsidP="00EF67DE"/>
        </w:tc>
        <w:tc>
          <w:tcPr>
            <w:tcW w:w="279" w:type="dxa"/>
          </w:tcPr>
          <w:p w:rsidR="007F5BD1" w:rsidRPr="00016249" w:rsidRDefault="007F5BD1" w:rsidP="00EF67DE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282" w:type="dxa"/>
          </w:tcPr>
          <w:p w:rsidR="007F5BD1" w:rsidRPr="00016249" w:rsidRDefault="007F5BD1" w:rsidP="00EF67DE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</w:rPr>
            </w:pPr>
          </w:p>
        </w:tc>
      </w:tr>
      <w:tr w:rsidR="007F5BD1" w:rsidRPr="00016249" w:rsidTr="00EF67DE">
        <w:trPr>
          <w:trHeight w:val="89"/>
        </w:trPr>
        <w:tc>
          <w:tcPr>
            <w:tcW w:w="10615" w:type="dxa"/>
            <w:gridSpan w:val="3"/>
          </w:tcPr>
          <w:p w:rsidR="007F5BD1" w:rsidRPr="00016249" w:rsidRDefault="007F5BD1" w:rsidP="00EF67DE">
            <w:pPr>
              <w:tabs>
                <w:tab w:val="left" w:pos="1200"/>
              </w:tabs>
              <w:jc w:val="center"/>
              <w:rPr>
                <w:rFonts w:ascii="Calibri" w:hAnsi="Calibri"/>
              </w:rPr>
            </w:pPr>
          </w:p>
        </w:tc>
      </w:tr>
    </w:tbl>
    <w:p w:rsidR="007F5BD1" w:rsidRPr="003B456F" w:rsidRDefault="007F5BD1" w:rsidP="007F5BD1">
      <w:pPr>
        <w:spacing w:after="200" w:line="276" w:lineRule="auto"/>
        <w:jc w:val="both"/>
        <w:rPr>
          <w:sz w:val="26"/>
          <w:szCs w:val="26"/>
        </w:rPr>
      </w:pPr>
    </w:p>
    <w:p w:rsidR="007F5BD1" w:rsidRPr="003B456F" w:rsidRDefault="007F5BD1" w:rsidP="007F5BD1">
      <w:pPr>
        <w:spacing w:after="200" w:line="276" w:lineRule="auto"/>
        <w:jc w:val="both"/>
        <w:rPr>
          <w:sz w:val="26"/>
          <w:szCs w:val="26"/>
        </w:rPr>
      </w:pPr>
    </w:p>
    <w:p w:rsidR="007F5BD1" w:rsidRDefault="007F5BD1" w:rsidP="007F5BD1">
      <w:pPr>
        <w:spacing w:after="200" w:line="276" w:lineRule="auto"/>
        <w:jc w:val="both"/>
        <w:rPr>
          <w:sz w:val="26"/>
          <w:szCs w:val="26"/>
        </w:rPr>
      </w:pPr>
    </w:p>
    <w:p w:rsidR="007F5BD1" w:rsidRDefault="007F5BD1" w:rsidP="007F5BD1">
      <w:pPr>
        <w:spacing w:after="200" w:line="276" w:lineRule="auto"/>
        <w:jc w:val="both"/>
        <w:rPr>
          <w:sz w:val="26"/>
          <w:szCs w:val="26"/>
        </w:rPr>
      </w:pPr>
    </w:p>
    <w:p w:rsidR="007F5BD1" w:rsidRDefault="00542429" w:rsidP="007F5BD1">
      <w:pPr>
        <w:jc w:val="center"/>
        <w:rPr>
          <w:b/>
        </w:rPr>
      </w:pPr>
      <w:r>
        <w:t xml:space="preserve"> </w:t>
      </w:r>
    </w:p>
    <w:p w:rsidR="00F83BFE" w:rsidRDefault="00F83BFE"/>
    <w:sectPr w:rsidR="00F83BFE" w:rsidSect="007F5B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5"/>
    <w:rsid w:val="00542429"/>
    <w:rsid w:val="00700E85"/>
    <w:rsid w:val="007F5BD1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2022-04-11T04:12:00Z</dcterms:created>
  <dcterms:modified xsi:type="dcterms:W3CDTF">2022-04-11T04:19:00Z</dcterms:modified>
</cp:coreProperties>
</file>